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3.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bstract"/>
    <w:p>
      <w:pPr>
        <w:pStyle w:val="Heading1"/>
      </w:pPr>
      <w:r>
        <w:t xml:space="preserve">Abstract</w:t>
      </w:r>
    </w:p>
    <w:bookmarkEnd w:id="20"/>
    <w:bookmarkStart w:id="21" w:name="introduction"/>
    <w:p>
      <w:pPr>
        <w:pStyle w:val="Heading1"/>
      </w:pPr>
      <w:r>
        <w:t xml:space="preserve">Introduction</w:t>
      </w:r>
    </w:p>
    <w:bookmarkEnd w:id="21"/>
    <w:bookmarkStart w:id="22" w:name="methods"/>
    <w:p>
      <w:pPr>
        <w:pStyle w:val="Heading1"/>
      </w:pPr>
      <w:r>
        <w:t xml:space="preserve">Methods</w:t>
      </w:r>
    </w:p>
    <w:bookmarkEnd w:id="22"/>
    <w:bookmarkStart w:id="43" w:name="results"/>
    <w:p>
      <w:pPr>
        <w:pStyle w:val="Heading1"/>
      </w:pPr>
      <w:r>
        <w:t xml:space="preserve">Results</w:t>
      </w:r>
    </w:p>
    <w:bookmarkStart w:id="27" w:name="Xa7852579298aa6aec6315c0a2aa7049de59aaf0"/>
    <w:p>
      <w:pPr>
        <w:pStyle w:val="Heading2"/>
      </w:pPr>
      <w:r>
        <w:t xml:space="preserve">Estrogen receptor is a clinical continuous variable</w:t>
      </w:r>
    </w:p>
    <w:p>
      <w:pPr>
        <w:pStyle w:val="FirstParagraph"/>
      </w:pPr>
      <w:r>
        <w:t xml:space="preserve">We used three independent breast cancer molecular datasets</w:t>
      </w:r>
      <w:r>
        <w:t xml:space="preserve"> </w:t>
      </w:r>
      <w:r>
        <w:t xml:space="preserve">(1–3)</w:t>
      </w:r>
      <w:r>
        <w:t xml:space="preserve"> </w:t>
      </w:r>
      <w:r>
        <w:t xml:space="preserve">to calculate estrogen signaling scores.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(4)</w:t>
      </w:r>
      <w:r>
        <w:t xml:space="preserve"> </w:t>
      </w:r>
      <w:r>
        <w:t xml:space="preserve">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(5)</w:t>
      </w:r>
      <w:r>
        <w:t xml:space="preserve">. The individual</w:t>
      </w:r>
      <w:r>
        <w:t xml:space="preserve"> </w:t>
      </w:r>
      <w:r>
        <w:t xml:space="preserve">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It shows the scores capture the differences</w:t>
      </w:r>
      <w:r>
        <w:t xml:space="preserve"> </w:t>
      </w:r>
      <w:r>
        <w:t xml:space="preserve">between the two breast cancer subtypes as expected. Moreover, there is a</w:t>
      </w:r>
      <w:r>
        <w:t xml:space="preserve"> </w:t>
      </w:r>
      <w:r>
        <w:t xml:space="preserve">wide range of values in the estrogen receptor positive (ER+) subgroup.</w:t>
      </w:r>
    </w:p>
    <w:p>
      <w:pPr>
        <w:pStyle w:val="BodyText"/>
      </w:pPr>
      <w:r>
        <w:t xml:space="preserve">Cox regression was used to determine the hazard ratio of the 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Only ER+ BC patients were used and</w:t>
      </w:r>
      <w:r>
        <w:t xml:space="preserve"> </w:t>
      </w:r>
      <w:r>
        <w:t xml:space="preserve">when possible only those that received endocrine therapy.</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w:t>
      </w:r>
    </w:p>
    <w:tbl>
      <w:tblPr>
        <w:tblStyle w:val="Table"/>
        <w:tblW w:type="pct" w:w="5000"/>
        <w:tblLook w:firstRow="0" w:lastRow="0" w:firstColumn="0" w:lastColumn="0" w:noHBand="0" w:noVBand="0" w:val="0000"/>
      </w:tblPr>
      <w:tblGrid>
        <w:gridCol w:w="7920"/>
      </w:tblGrid>
      <w:tr>
        <w:tc>
          <w:tcPr/>
          <w:bookmarkStart w:id="26" w:name="fig-01"/>
          <w:p>
            <w:pPr>
              <w:pStyle w:val="Figure"/>
              <w:jc w:val="center"/>
            </w:pPr>
            <w:r>
              <w:drawing>
                <wp:inline>
                  <wp:extent cx="5334000" cy="4124722"/>
                  <wp:effectExtent b="0" l="0" r="0" t="0"/>
                  <wp:docPr descr="" title="" id="24" name="Picture"/>
                  <a:graphic>
                    <a:graphicData uri="http://schemas.openxmlformats.org/drawingml/2006/picture">
                      <pic:pic>
                        <pic:nvPicPr>
                          <pic:cNvPr descr="images/png/figure01.png" id="25" name="Picture"/>
                          <pic:cNvPicPr>
                            <a:picLocks noChangeArrowheads="1" noChangeAspect="1"/>
                          </pic:cNvPicPr>
                        </pic:nvPicPr>
                        <pic:blipFill>
                          <a:blip r:embed="rId23"/>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26"/>
        </w:tc>
      </w:tr>
    </w:tbl>
    <w:bookmarkEnd w:id="27"/>
    <w:bookmarkStart w:id="32"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w:t>
      </w:r>
      <w:r>
        <w:t xml:space="preserve"> </w:t>
      </w:r>
      <w:r>
        <w:t xml:space="preserve">(See methods section for the step by step)</w:t>
      </w:r>
      <w:r>
        <w:t xml:space="preserve"> </w:t>
      </w:r>
      <w:r>
        <w:t xml:space="preserve">to integrate microarray and bulk RNA-seq and create a molecular landscape.</w:t>
      </w:r>
      <w:r>
        <w:t xml:space="preserve"> </w:t>
      </w:r>
      <w:r>
        <w:t xml:space="preserve">The advantage of the method is that</w:t>
      </w:r>
      <w:r>
        <w:t xml:space="preserve"> </w:t>
      </w:r>
      <w:r>
        <w:t xml:space="preserve">given a new sample, it can easily be integrated with all the other previous</w:t>
      </w:r>
      <w:r>
        <w:t xml:space="preserve"> </w:t>
      </w:r>
      <w:r>
        <w:t xml:space="preserve">samples without any retraining.</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using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is mostly dividing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 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tbl>
      <w:tblPr>
        <w:tblStyle w:val="Table"/>
        <w:tblW w:type="pct" w:w="5000"/>
        <w:tblLook w:firstRow="0" w:lastRow="0" w:firstColumn="0" w:lastColumn="0" w:noHBand="0" w:noVBand="0" w:val="0000"/>
      </w:tblPr>
      <w:tblGrid>
        <w:gridCol w:w="7920"/>
      </w:tblGrid>
      <w:tr>
        <w:tc>
          <w:tcPr/>
          <w:bookmarkStart w:id="31" w:name="fig-02"/>
          <w:p>
            <w:pPr>
              <w:pStyle w:val="Figure"/>
              <w:jc w:val="center"/>
            </w:pPr>
            <w:r>
              <w:drawing>
                <wp:inline>
                  <wp:extent cx="5334000" cy="3816653"/>
                  <wp:effectExtent b="0" l="0" r="0" t="0"/>
                  <wp:docPr descr="" title="" id="29" name="Picture"/>
                  <a:graphic>
                    <a:graphicData uri="http://schemas.openxmlformats.org/drawingml/2006/picture">
                      <pic:pic>
                        <pic:nvPicPr>
                          <pic:cNvPr descr="images/png/figure02.png" id="30" name="Picture"/>
                          <pic:cNvPicPr>
                            <a:picLocks noChangeArrowheads="1" noChangeAspect="1"/>
                          </pic:cNvPicPr>
                        </pic:nvPicPr>
                        <pic:blipFill>
                          <a:blip r:embed="rId28"/>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31"/>
        </w:tc>
      </w:tr>
    </w:tbl>
    <w:bookmarkEnd w:id="32"/>
    <w:bookmarkStart w:id="37" w:name="X72d4eabaa79479c4c1de9835595e78bbcbc554c"/>
    <w:p>
      <w:pPr>
        <w:pStyle w:val="Heading2"/>
      </w:pPr>
      <w:r>
        <w:t xml:space="preserve">Embedding is robust to missing genes and generalized to a validation cohort</w:t>
      </w:r>
    </w:p>
    <w:p>
      <w:pPr>
        <w:pStyle w:val="FirstParagraph"/>
      </w:pPr>
      <w:r>
        <w:t xml:space="preserve">METABRIC and TCGA were used to train and validate the projections.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 METABRIC.</w:t>
      </w:r>
      <w:r>
        <w:t xml:space="preserve"> </w:t>
      </w:r>
      <w:r>
        <w:t xml:space="preserve">It is also in between the two cohorts.</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3">
        <w:r>
          <w:rPr>
            <w:rStyle w:val="Hyperlink"/>
          </w:rPr>
          <w:t xml:space="preserve">Figure 3</w:t>
        </w:r>
      </w:hyperlink>
      <w:r>
        <w:t xml:space="preserve"> </w:t>
      </w:r>
      <w:r>
        <w:t xml:space="preserve">(e)). Another problem that arises with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3">
        <w:r>
          <w:rPr>
            <w:rStyle w:val="Hyperlink"/>
          </w:rPr>
          <w:t xml:space="preserve">Figure 3</w:t>
        </w:r>
      </w:hyperlink>
      <w:r>
        <w:t xml:space="preserve"> </w:t>
      </w:r>
      <w:r>
        <w:t xml:space="preserve">(f)). The</w:t>
      </w:r>
      <w:r>
        <w:t xml:space="preserve"> </w:t>
      </w:r>
      <w:r>
        <w:t xml:space="preserve">higher the proportion the less precise the embedding is.</w:t>
      </w:r>
    </w:p>
    <w:tbl>
      <w:tblPr>
        <w:tblStyle w:val="Table"/>
        <w:tblW w:type="pct" w:w="5000"/>
        <w:tblLook w:firstRow="0" w:lastRow="0" w:firstColumn="0" w:lastColumn="0" w:noHBand="0" w:noVBand="0" w:val="0000"/>
      </w:tblPr>
      <w:tblGrid>
        <w:gridCol w:w="7920"/>
      </w:tblGrid>
      <w:tr>
        <w:tc>
          <w:tcPr/>
          <w:bookmarkStart w:id="36" w:name="fig-03"/>
          <w:p>
            <w:pPr>
              <w:pStyle w:val="Figure"/>
              <w:jc w:val="center"/>
            </w:pPr>
            <w:r>
              <w:drawing>
                <wp:inline>
                  <wp:extent cx="5334000" cy="5626902"/>
                  <wp:effectExtent b="0" l="0" r="0" t="0"/>
                  <wp:docPr descr="" title="" id="34" name="Picture"/>
                  <a:graphic>
                    <a:graphicData uri="http://schemas.openxmlformats.org/drawingml/2006/picture">
                      <pic:pic>
                        <pic:nvPicPr>
                          <pic:cNvPr descr="images/png/figure03.png" id="35" name="Picture"/>
                          <pic:cNvPicPr>
                            <a:picLocks noChangeArrowheads="1" noChangeAspect="1"/>
                          </pic:cNvPicPr>
                        </pic:nvPicPr>
                        <pic:blipFill>
                          <a:blip r:embed="rId33"/>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36"/>
        </w:tc>
      </w:tr>
    </w:tbl>
    <w:bookmarkEnd w:id="37"/>
    <w:bookmarkStart w:id="42"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embedding, we can</w:t>
      </w:r>
      <w:r>
        <w:t xml:space="preserve"> </w:t>
      </w:r>
      <w:r>
        <w:t xml:space="preserve">add samples from any cohort with relative good data. The POETIC trial</w:t>
      </w:r>
      <w:r>
        <w:t xml:space="preserve"> </w:t>
      </w:r>
      <w:r>
        <w:t xml:space="preserve">(6)</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They sent for microarray hybridization matched samples from baseline</w:t>
      </w:r>
      <w:r>
        <w:t xml:space="preserve"> </w:t>
      </w:r>
      <w:r>
        <w:t xml:space="preserve">(before treatment) and at surgery (after an average of 14 days of treatment)</w:t>
      </w:r>
      <w:r>
        <w:t xml:space="preserve"> </w:t>
      </w:r>
      <w:r>
        <w:t xml:space="preserve">(7)</w:t>
      </w:r>
      <w:r>
        <w:t xml:space="preserve">. There are also untreated patients, used to control for sample</w:t>
      </w:r>
      <w:r>
        <w:t xml:space="preserve"> </w:t>
      </w:r>
      <w:r>
        <w:t xml:space="preserve">processing artefacts. Moreover,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The molecular landscape can shed light on the differences between</w:t>
      </w:r>
      <w:r>
        <w:t xml:space="preserve"> </w:t>
      </w:r>
      <w:r>
        <w:t xml:space="preserve">responders and non responders.</w:t>
      </w:r>
      <w:r>
        <w:t xml:space="preserve"> </w:t>
      </w:r>
      <w:r>
        <w:t xml:space="preserve">We embedded the POETIC trial samples using the procedure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showing that</w:t>
      </w:r>
      <w:r>
        <w:t xml:space="preserve"> </w:t>
      </w:r>
      <w:r>
        <w:t xml:space="preserve">patients indeed have different molecular biological properties. Moreover,</w:t>
      </w:r>
      <w:r>
        <w:t xml:space="preserve"> </w:t>
      </w:r>
      <w:r>
        <w:t xml:space="preserve">given 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and their average posterior</w:t>
      </w:r>
      <w:r>
        <w:t xml:space="preserve"> </w:t>
      </w:r>
      <w:r>
        <w:t xml:space="preserve">distributions are shown for both patients.</w:t>
      </w:r>
    </w:p>
    <w:tbl>
      <w:tblPr>
        <w:tblStyle w:val="Table"/>
        <w:tblW w:type="pct" w:w="5000"/>
        <w:tblLook w:firstRow="0" w:lastRow="0" w:firstColumn="0" w:lastColumn="0" w:noHBand="0" w:noVBand="0" w:val="0000"/>
      </w:tblPr>
      <w:tblGrid>
        <w:gridCol w:w="7920"/>
      </w:tblGrid>
      <w:tr>
        <w:tc>
          <w:tcPr/>
          <w:bookmarkStart w:id="41" w:name="fig-04"/>
          <w:p>
            <w:pPr>
              <w:pStyle w:val="Figure"/>
              <w:jc w:val="center"/>
            </w:pPr>
            <w:r>
              <w:drawing>
                <wp:inline>
                  <wp:extent cx="5334000" cy="2761522"/>
                  <wp:effectExtent b="0" l="0" r="0" t="0"/>
                  <wp:docPr descr="" title="" id="39" name="Picture"/>
                  <a:graphic>
                    <a:graphicData uri="http://schemas.openxmlformats.org/drawingml/2006/picture">
                      <pic:pic>
                        <pic:nvPicPr>
                          <pic:cNvPr descr="images/png/figure04.png" id="40" name="Picture"/>
                          <pic:cNvPicPr>
                            <a:picLocks noChangeArrowheads="1" noChangeAspect="1"/>
                          </pic:cNvPicPr>
                        </pic:nvPicPr>
                        <pic:blipFill>
                          <a:blip r:embed="rId38"/>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41"/>
        </w:tc>
      </w:tr>
    </w:tbl>
    <w:bookmarkEnd w:id="42"/>
    <w:bookmarkEnd w:id="43"/>
    <w:bookmarkStart w:id="44" w:name="discussion"/>
    <w:p>
      <w:pPr>
        <w:pStyle w:val="Heading1"/>
      </w:pPr>
      <w:r>
        <w:t xml:space="preserve">Discussion</w:t>
      </w:r>
    </w:p>
    <w:bookmarkEnd w:id="44"/>
    <w:bookmarkStart w:id="60" w:name="references"/>
    <w:p>
      <w:pPr>
        <w:pStyle w:val="Heading1"/>
      </w:pPr>
      <w:r>
        <w:t xml:space="preserve">References</w:t>
      </w:r>
    </w:p>
    <w:bookmarkStart w:id="59" w:name="refs"/>
    <w:bookmarkStart w:id="46" w:name="ref-Saal2015"/>
    <w:p>
      <w:pPr>
        <w:pStyle w:val="Bibliography"/>
      </w:pPr>
      <w:r>
        <w:t xml:space="preserve">1.</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45">
        <w:r>
          <w:rPr>
            <w:rStyle w:val="Hyperlink"/>
          </w:rPr>
          <w:t xml:space="preserve">https://doi.org/10.1186/s13073-015-0131-9</w:t>
        </w:r>
      </w:hyperlink>
    </w:p>
    <w:bookmarkEnd w:id="46"/>
    <w:bookmarkStart w:id="48" w:name="ref-tcgabrca"/>
    <w:p>
      <w:pPr>
        <w:pStyle w:val="Bibliography"/>
      </w:pPr>
      <w:r>
        <w:t xml:space="preserve">2.</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47">
        <w:r>
          <w:rPr>
            <w:rStyle w:val="Hyperlink"/>
          </w:rPr>
          <w:t xml:space="preserve">https://doi.org/10.1038/nature11412</w:t>
        </w:r>
      </w:hyperlink>
    </w:p>
    <w:bookmarkEnd w:id="48"/>
    <w:bookmarkStart w:id="50" w:name="ref-Curtis2012"/>
    <w:p>
      <w:pPr>
        <w:pStyle w:val="Bibliography"/>
      </w:pPr>
      <w:r>
        <w:t xml:space="preserve">3.</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49">
        <w:r>
          <w:rPr>
            <w:rStyle w:val="Hyperlink"/>
          </w:rPr>
          <w:t xml:space="preserve">https://doi.org/10.1038/nature10983</w:t>
        </w:r>
      </w:hyperlink>
    </w:p>
    <w:bookmarkEnd w:id="50"/>
    <w:bookmarkStart w:id="52" w:name="ref-Subramanian2005"/>
    <w:p>
      <w:pPr>
        <w:pStyle w:val="Bibliography"/>
      </w:pPr>
      <w:r>
        <w:t xml:space="preserve">4.</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51">
        <w:r>
          <w:rPr>
            <w:rStyle w:val="Hyperlink"/>
          </w:rPr>
          <w:t xml:space="preserve">https://doi.org/10.1073/pnas.0506580102</w:t>
        </w:r>
      </w:hyperlink>
    </w:p>
    <w:bookmarkEnd w:id="52"/>
    <w:bookmarkStart w:id="54" w:name="ref-Sinn2019"/>
    <w:p>
      <w:pPr>
        <w:pStyle w:val="Bibliography"/>
      </w:pPr>
      <w:r>
        <w:t xml:space="preserve">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53">
        <w:r>
          <w:rPr>
            <w:rStyle w:val="Hyperlink"/>
          </w:rPr>
          <w:t xml:space="preserve">https://doi.org/10.1038/s41523-019-0111-0</w:t>
        </w:r>
      </w:hyperlink>
    </w:p>
    <w:bookmarkEnd w:id="54"/>
    <w:bookmarkStart w:id="56" w:name="ref-Dowsett2011"/>
    <w:p>
      <w:pPr>
        <w:pStyle w:val="Bibliography"/>
      </w:pPr>
      <w:r>
        <w:t xml:space="preserve">6.</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55">
        <w:r>
          <w:rPr>
            <w:rStyle w:val="Hyperlink"/>
          </w:rPr>
          <w:t xml:space="preserve">https://doi.org/10.1093/jncimonographs/lgr034</w:t>
        </w:r>
      </w:hyperlink>
    </w:p>
    <w:bookmarkEnd w:id="56"/>
    <w:bookmarkStart w:id="58" w:name="ref-Gao2019"/>
    <w:p>
      <w:pPr>
        <w:pStyle w:val="Bibliography"/>
      </w:pPr>
      <w:r>
        <w:t xml:space="preserve">7.</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57">
        <w:r>
          <w:rPr>
            <w:rStyle w:val="Hyperlink"/>
          </w:rPr>
          <w:t xml:space="preserve">https://doi.org/10.1186/s13058-019-1223-z</w:t>
        </w:r>
      </w:hyperlink>
    </w:p>
    <w:bookmarkEnd w:id="58"/>
    <w:bookmarkEnd w:id="59"/>
    <w:bookmarkEnd w:id="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hyperlink" Id="rId49" Target="https://doi.org/10.1038/nature10983" TargetMode="External" /><Relationship Type="http://schemas.openxmlformats.org/officeDocument/2006/relationships/hyperlink" Id="rId47" Target="https://doi.org/10.1038/nature11412" TargetMode="External" /><Relationship Type="http://schemas.openxmlformats.org/officeDocument/2006/relationships/hyperlink" Id="rId53" Target="https://doi.org/10.1038/s41523-019-0111-0" TargetMode="External" /><Relationship Type="http://schemas.openxmlformats.org/officeDocument/2006/relationships/hyperlink" Id="rId51" Target="https://doi.org/10.1073/pnas.0506580102" TargetMode="External" /><Relationship Type="http://schemas.openxmlformats.org/officeDocument/2006/relationships/hyperlink" Id="rId55" Target="https://doi.org/10.1093/jncimonographs/lgr034" TargetMode="External" /><Relationship Type="http://schemas.openxmlformats.org/officeDocument/2006/relationships/hyperlink" Id="rId57" Target="https://doi.org/10.1186/s13058-019-1223-z" TargetMode="External" /><Relationship Type="http://schemas.openxmlformats.org/officeDocument/2006/relationships/hyperlink" Id="rId45" Target="https://doi.org/10.1186/s13073-015-0131-9"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38/nature10983" TargetMode="External" /><Relationship Type="http://schemas.openxmlformats.org/officeDocument/2006/relationships/hyperlink" Id="rId47" Target="https://doi.org/10.1038/nature11412" TargetMode="External" /><Relationship Type="http://schemas.openxmlformats.org/officeDocument/2006/relationships/hyperlink" Id="rId53" Target="https://doi.org/10.1038/s41523-019-0111-0" TargetMode="External" /><Relationship Type="http://schemas.openxmlformats.org/officeDocument/2006/relationships/hyperlink" Id="rId51" Target="https://doi.org/10.1073/pnas.0506580102" TargetMode="External" /><Relationship Type="http://schemas.openxmlformats.org/officeDocument/2006/relationships/hyperlink" Id="rId55" Target="https://doi.org/10.1093/jncimonographs/lgr034" TargetMode="External" /><Relationship Type="http://schemas.openxmlformats.org/officeDocument/2006/relationships/hyperlink" Id="rId57" Target="https://doi.org/10.1186/s13058-019-1223-z" TargetMode="External" /><Relationship Type="http://schemas.openxmlformats.org/officeDocument/2006/relationships/hyperlink" Id="rId45" Target="https://doi.org/10.1186/s13073-015-013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2022-09-09T08:29:57Z</dcterms:created>
  <dcterms:modified xsi:type="dcterms:W3CDTF">2022-09-09T08:29:57Z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csl/aacr.csl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pagetitle">
    <vt:lpwstr>main</vt:lpwstr>
  </property>
  <property fmtid="{D5CDD505-2E9C-101B-9397-08002B2CF9AE}" pid="10" name="toc-title">
    <vt:lpwstr>Table of contents</vt:lpwstr>
  </property>
</Properties>
</file>